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73A93" w14:textId="77777777" w:rsidR="002C3B32" w:rsidRPr="00184ADF" w:rsidRDefault="002C3B32" w:rsidP="002C3B32">
      <w:pPr>
        <w:spacing w:before="120" w:after="120" w:line="240" w:lineRule="auto"/>
        <w:jc w:val="center"/>
        <w:rPr>
          <w:b/>
          <w:color w:val="0070C0"/>
          <w:sz w:val="24"/>
          <w:szCs w:val="24"/>
          <w:u w:val="single"/>
        </w:rPr>
      </w:pPr>
      <w:bookmarkStart w:id="0" w:name="_GoBack"/>
      <w:bookmarkEnd w:id="0"/>
      <w:r w:rsidRPr="00184ADF">
        <w:rPr>
          <w:b/>
          <w:color w:val="0070C0"/>
          <w:sz w:val="24"/>
          <w:szCs w:val="24"/>
          <w:u w:val="single"/>
        </w:rPr>
        <w:t>Componenta 1- LDR și Componenta 2 - MDR:</w:t>
      </w:r>
    </w:p>
    <w:p w14:paraId="3EEA494B" w14:textId="77777777"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14:paraId="3D0A90C5" w14:textId="77777777" w:rsidR="00093E54" w:rsidRDefault="00093E54" w:rsidP="00466EB4">
      <w:pPr>
        <w:jc w:val="center"/>
        <w:rPr>
          <w:b/>
          <w:i/>
          <w:color w:val="0070C0"/>
        </w:rPr>
      </w:pPr>
    </w:p>
    <w:p w14:paraId="5960BD31" w14:textId="77777777"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14:paraId="6F46E2A8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14:paraId="0D72296A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14:paraId="6FAB8E03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14:paraId="2374065F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14:paraId="352538F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soiuri/varietăți/hibrizi/ideotipuri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14:paraId="70071606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14:paraId="5AE4CA2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>de complex ecosistemic contribuie la dezvoltarea sectoarelor forestier, cinegetic, agrosilvic și agroecologic.</w:t>
      </w:r>
    </w:p>
    <w:p w14:paraId="162C429E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14:paraId="3B0451F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>ale IoT, big data, blockchain,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14:paraId="2FC90470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14:paraId="4DBC0DC2" w14:textId="77777777"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 xml:space="preserve">punct </w:t>
      </w:r>
      <w:r w:rsidRPr="000B05C2">
        <w:rPr>
          <w:color w:val="0070C0"/>
        </w:rPr>
        <w:lastRenderedPageBreak/>
        <w:t>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>și siguranță alimentară. Parte a acestui demers, foodomics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>dietă, sănătatea individului, prin aplicarea unor abordări „omice” precum genomica, transcriptomica,</w:t>
      </w:r>
      <w:r>
        <w:rPr>
          <w:color w:val="0070C0"/>
        </w:rPr>
        <w:t xml:space="preserve"> </w:t>
      </w:r>
      <w:r w:rsidRPr="000B05C2">
        <w:rPr>
          <w:color w:val="0070C0"/>
        </w:rPr>
        <w:t>proteomica și metabolomica, epigenomica, lipidomica, interactivomica, metalomica și/sau</w:t>
      </w:r>
      <w:r>
        <w:rPr>
          <w:color w:val="0070C0"/>
        </w:rPr>
        <w:t xml:space="preserve"> </w:t>
      </w:r>
      <w:r w:rsidRPr="000B05C2">
        <w:rPr>
          <w:color w:val="0070C0"/>
        </w:rPr>
        <w:t>diseasomica.</w:t>
      </w:r>
    </w:p>
    <w:p w14:paraId="4268B9D9" w14:textId="77777777" w:rsidR="000B05C2" w:rsidRPr="000B05C2" w:rsidRDefault="000B05C2" w:rsidP="00466EB4">
      <w:pPr>
        <w:rPr>
          <w:color w:val="0070C0"/>
        </w:rPr>
      </w:pPr>
    </w:p>
    <w:p w14:paraId="46AE82AA" w14:textId="77777777"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14:paraId="59AA876C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14:paraId="7E1A1AB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comunicații, IT, biologie și medicină, materiale, aplicații radio, THz,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14:paraId="69021178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14:paraId="0F65133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14:paraId="287D97B0" w14:textId="77777777"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3. Energie și mobilitate</w:t>
      </w:r>
    </w:p>
    <w:p w14:paraId="7530F05C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14:paraId="7181E6D1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vehicule în orașe inteligente; soluțiile de interoperabilitate și intermodalitate în transport.</w:t>
      </w:r>
    </w:p>
    <w:p w14:paraId="1F80C143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14:paraId="2982D90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14:paraId="1BCC58B4" w14:textId="77777777"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14:paraId="0973BA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creșterea eficienței energetice, sporirea flexibilității sistemului, prioritizarea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tip Smart Grids la nivelul transportului și distribuției de energie electrică, dar și la cel al utilizatorilor.</w:t>
      </w:r>
    </w:p>
    <w:p w14:paraId="37CA44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14:paraId="65BED97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(„pro-sumers”).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cu </w:t>
      </w:r>
      <w:r w:rsidRPr="000B05C2">
        <w:rPr>
          <w:color w:val="0070C0"/>
        </w:rPr>
        <w:lastRenderedPageBreak/>
        <w:t>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14:paraId="65A9BEBD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14:paraId="3C0732F3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4.1 Tehnologii de fabricație pentru industria aeronautică</w:t>
      </w:r>
    </w:p>
    <w:p w14:paraId="7B3A696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Deal” și „Circular Aviation”.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(poli/multi-funcționale), cât și performanța pe întreg ciclul de producție-utilizare-reciclare.</w:t>
      </w:r>
    </w:p>
    <w:p w14:paraId="0AEA2EB9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14:paraId="550F1964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14:paraId="3F4DF548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14:paraId="2CC7B0D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acoperire), mașini unelte cu toleranță micronică, etc.</w:t>
      </w:r>
    </w:p>
    <w:p w14:paraId="03D7C7E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14:paraId="081BB6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14:paraId="2A412C9F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Optoelectronica realizează legături între optică, electronică, senzori, comunicații, lab-on-chip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14:paraId="2159882F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14:paraId="02CA444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Materialele compozite inteligente sunt responsive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construcții (materiale și finisaje durabile cu proprietăți de autoreparare, autocurățare, materiale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fotoactive, cromoactive,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autoadaptare), pentru electronice/comunicații, actuatori/senzori,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14:paraId="24AAED8E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</w:p>
    <w:p w14:paraId="4C68212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critice, prin dezvoltarea de soluții alternative green și sustenabile pe termen mediu și lung.</w:t>
      </w:r>
    </w:p>
    <w:p w14:paraId="51CD9BDB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5.4 Materiale pentru aplicații electronice, electrice, fotonice, magnetice și în senzoristică</w:t>
      </w:r>
    </w:p>
    <w:p w14:paraId="57E0F8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materiale, inclusiv bioinspirate,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(inclusiv biochimici, chimici și electrochimici), dispozitive micro- și nanoelectronice,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14:paraId="6CADEFD4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14:paraId="67D6879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Vizează proiectarea, modelarea, fabricarea și caracterizarea materialelor avansate, inteligente, înaltfuncționale și dezvoltările în ingineria suprafeței, pentru aplicații bioinspirate și biomimetice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medical precum: dispozitive implantabile, medicina regenerativă/personalizată/de precizie, 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de eliberare controlată, diagnostic (inclusiv bio-imagistică), platforme teranostice, biosenzori,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bio(nano)tehnologii, soluții în imunologie și cosmetică.</w:t>
      </w:r>
    </w:p>
    <w:p w14:paraId="2C1C4ACD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14:paraId="546E74FC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superconductoare, acoperiririle superhidrofobe,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14:paraId="2C8AD192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 Mediu și eco-tehnologii</w:t>
      </w:r>
    </w:p>
    <w:p w14:paraId="6496A8B3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14:paraId="02D2D2FE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de monitorizare a mediului (inclusiv prin rețele de senzori și date satelitare),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14:paraId="6CF50654" w14:textId="77777777"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14:paraId="0F00BD3B" w14:textId="77777777"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492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B4D0D" w14:textId="77777777" w:rsidR="00EA5F71" w:rsidRDefault="00EA5F71" w:rsidP="002C069A">
      <w:pPr>
        <w:spacing w:line="240" w:lineRule="auto"/>
      </w:pPr>
      <w:r>
        <w:separator/>
      </w:r>
    </w:p>
  </w:endnote>
  <w:endnote w:type="continuationSeparator" w:id="0">
    <w:p w14:paraId="777FF1C0" w14:textId="77777777" w:rsidR="00EA5F71" w:rsidRDefault="00EA5F71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1D60" w14:textId="77777777" w:rsidR="00304018" w:rsidRDefault="003040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57507" w14:textId="77777777" w:rsidR="00304018" w:rsidRDefault="003040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F5921" w14:textId="77777777" w:rsidR="00304018" w:rsidRDefault="003040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404BD" w14:textId="77777777" w:rsidR="00EA5F71" w:rsidRDefault="00EA5F71" w:rsidP="002C069A">
      <w:pPr>
        <w:spacing w:line="240" w:lineRule="auto"/>
      </w:pPr>
      <w:r>
        <w:separator/>
      </w:r>
    </w:p>
  </w:footnote>
  <w:footnote w:type="continuationSeparator" w:id="0">
    <w:p w14:paraId="1BB39541" w14:textId="77777777" w:rsidR="00EA5F71" w:rsidRDefault="00EA5F71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E4DFB" w14:textId="77777777" w:rsidR="00304018" w:rsidRDefault="003040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D9262" w14:textId="77777777" w:rsidR="00304018" w:rsidRDefault="003040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20630" w14:textId="77777777" w:rsidR="003F4F8A" w:rsidRPr="0091374D" w:rsidRDefault="003F4F8A" w:rsidP="003F4F8A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  <w:r w:rsidRPr="0091374D">
      <w:rPr>
        <w:rFonts w:cs="Arial"/>
        <w:b/>
        <w:i/>
        <w:color w:val="1F497D"/>
        <w:sz w:val="18"/>
        <w:szCs w:val="18"/>
      </w:rPr>
      <w:t>POCIDIF 2021-2027</w:t>
    </w:r>
  </w:p>
  <w:p w14:paraId="39044C02" w14:textId="77777777" w:rsidR="003F4F8A" w:rsidRPr="0091374D" w:rsidRDefault="003F4F8A" w:rsidP="003F4F8A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</w:p>
  <w:p w14:paraId="524B0D0B" w14:textId="72F96C50" w:rsidR="00304018" w:rsidRPr="00FD70D3" w:rsidRDefault="00304018" w:rsidP="00304018">
    <w:pPr>
      <w:pStyle w:val="Header"/>
      <w:tabs>
        <w:tab w:val="center" w:pos="4680"/>
        <w:tab w:val="right" w:pos="9360"/>
      </w:tabs>
      <w:jc w:val="center"/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</w:pPr>
    <w:proofErr w:type="spellStart"/>
    <w:r w:rsidRPr="00FD70D3">
      <w:rPr>
        <w:rFonts w:ascii="Arial Narrow" w:hAnsi="Arial Narrow" w:cs="Arial"/>
        <w:b/>
        <w:i/>
        <w:color w:val="1F497D"/>
        <w:sz w:val="18"/>
        <w:szCs w:val="18"/>
        <w:lang w:val="en-GB" w:eastAsia="de-DE"/>
      </w:rPr>
      <w:t>Anexa</w:t>
    </w:r>
    <w:proofErr w:type="spellEnd"/>
    <w:r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10</w:t>
    </w:r>
    <w:r w:rsidRPr="00FD70D3">
      <w:rPr>
        <w:rFonts w:ascii="Arial Narrow" w:hAnsi="Arial Narrow" w:cs="Arial"/>
        <w:b/>
        <w:i/>
        <w:color w:val="1F497D"/>
        <w:sz w:val="18"/>
        <w:szCs w:val="18"/>
        <w:lang w:val="en-GB" w:eastAsia="de-DE"/>
      </w:rPr>
      <w:t xml:space="preserve"> la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Ghidul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solicitantului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aferent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apelurilor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de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proiecte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PCIDIF/155/PCIDIF_P1/OP1/RSO1.1/PCIDIF_A1.1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și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respectiv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PCIDIF/158/PCIDIF_P1/OP1/RSO1.1/PCIDIF_A1,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Măsura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1.1.1</w:t>
    </w:r>
  </w:p>
  <w:p w14:paraId="70C6712F" w14:textId="53AA960B" w:rsidR="00492521" w:rsidRDefault="00492521" w:rsidP="00492521">
    <w:pPr>
      <w:pStyle w:val="Header"/>
      <w:tabs>
        <w:tab w:val="left" w:pos="6473"/>
      </w:tabs>
    </w:pPr>
    <w:r>
      <w:tab/>
    </w:r>
  </w:p>
  <w:p w14:paraId="07F116B5" w14:textId="77777777" w:rsidR="00492521" w:rsidRDefault="004925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34C54"/>
    <w:rsid w:val="001432B7"/>
    <w:rsid w:val="0014699F"/>
    <w:rsid w:val="00150B91"/>
    <w:rsid w:val="001530EC"/>
    <w:rsid w:val="00153C07"/>
    <w:rsid w:val="0015412E"/>
    <w:rsid w:val="00157B7B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2ED3"/>
    <w:rsid w:val="002541E4"/>
    <w:rsid w:val="0026092D"/>
    <w:rsid w:val="00260EF3"/>
    <w:rsid w:val="00282086"/>
    <w:rsid w:val="00282FD3"/>
    <w:rsid w:val="002B051B"/>
    <w:rsid w:val="002B45B9"/>
    <w:rsid w:val="002C069A"/>
    <w:rsid w:val="002C3B32"/>
    <w:rsid w:val="002D1A34"/>
    <w:rsid w:val="002D2873"/>
    <w:rsid w:val="002F258D"/>
    <w:rsid w:val="002F359A"/>
    <w:rsid w:val="0030186D"/>
    <w:rsid w:val="00304018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3F4F8A"/>
    <w:rsid w:val="004009C3"/>
    <w:rsid w:val="00402CA0"/>
    <w:rsid w:val="00415D38"/>
    <w:rsid w:val="00437D9C"/>
    <w:rsid w:val="004436D7"/>
    <w:rsid w:val="004446B0"/>
    <w:rsid w:val="00466EB4"/>
    <w:rsid w:val="004820A9"/>
    <w:rsid w:val="0048251A"/>
    <w:rsid w:val="00492521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46C1B"/>
    <w:rsid w:val="005555F1"/>
    <w:rsid w:val="00557568"/>
    <w:rsid w:val="00566E57"/>
    <w:rsid w:val="005A1197"/>
    <w:rsid w:val="005A7B8C"/>
    <w:rsid w:val="005B0A65"/>
    <w:rsid w:val="005B7579"/>
    <w:rsid w:val="005D3D77"/>
    <w:rsid w:val="005F5CF9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34D64"/>
    <w:rsid w:val="00755044"/>
    <w:rsid w:val="00756C52"/>
    <w:rsid w:val="00757FF5"/>
    <w:rsid w:val="00766E07"/>
    <w:rsid w:val="00767A38"/>
    <w:rsid w:val="0078117A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8F6"/>
    <w:rsid w:val="00B91AF7"/>
    <w:rsid w:val="00BA16BE"/>
    <w:rsid w:val="00BA6BDF"/>
    <w:rsid w:val="00BA6E6B"/>
    <w:rsid w:val="00BC19C2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A6B9E"/>
    <w:rsid w:val="00DB36CE"/>
    <w:rsid w:val="00DC71CA"/>
    <w:rsid w:val="00DF073C"/>
    <w:rsid w:val="00E07983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A5F71"/>
    <w:rsid w:val="00EB466B"/>
    <w:rsid w:val="00EC5741"/>
    <w:rsid w:val="00EC60C8"/>
    <w:rsid w:val="00ED0228"/>
    <w:rsid w:val="00ED2527"/>
    <w:rsid w:val="00ED300F"/>
    <w:rsid w:val="00ED79D6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CDB35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styleId="Revision">
    <w:name w:val="Revision"/>
    <w:hidden/>
    <w:uiPriority w:val="99"/>
    <w:semiHidden/>
    <w:rsid w:val="00E07983"/>
    <w:pPr>
      <w:spacing w:after="0" w:line="240" w:lineRule="auto"/>
    </w:pPr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A6D28-249F-4362-BA02-C96EBEF4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Steluta BULACEANU</cp:lastModifiedBy>
  <cp:revision>2</cp:revision>
  <dcterms:created xsi:type="dcterms:W3CDTF">2023-12-11T10:17:00Z</dcterms:created>
  <dcterms:modified xsi:type="dcterms:W3CDTF">2023-12-11T10:17:00Z</dcterms:modified>
</cp:coreProperties>
</file>